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45E3" w:rsidRDefault="002F3CD6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ICT PHD</w:t>
      </w:r>
    </w:p>
    <w:p w14:paraId="00000002" w14:textId="77777777" w:rsidR="006A45E3" w:rsidRDefault="002F3CD6">
      <w:pPr>
        <w:spacing w:before="240" w:after="240"/>
      </w:pPr>
      <w:r>
        <w:t>Research project for a PhD curriculum in ICT – Computer Engineering and Science</w:t>
      </w:r>
    </w:p>
    <w:p w14:paraId="00000003" w14:textId="77777777" w:rsidR="006A45E3" w:rsidRPr="002F3CD6" w:rsidRDefault="002F3CD6">
      <w:pPr>
        <w:spacing w:before="240" w:after="240"/>
        <w:rPr>
          <w:lang w:val="it-IT"/>
        </w:rPr>
      </w:pPr>
      <w:proofErr w:type="gramStart"/>
      <w:r w:rsidRPr="002F3CD6">
        <w:rPr>
          <w:b/>
          <w:lang w:val="it-IT"/>
        </w:rPr>
        <w:t>Tutor</w:t>
      </w:r>
      <w:r w:rsidRPr="002F3CD6">
        <w:rPr>
          <w:lang w:val="it-IT"/>
        </w:rPr>
        <w:t>:  Rita</w:t>
      </w:r>
      <w:proofErr w:type="gramEnd"/>
      <w:r w:rsidRPr="002F3CD6">
        <w:rPr>
          <w:lang w:val="it-IT"/>
        </w:rPr>
        <w:t xml:space="preserve"> Cucchiara</w:t>
      </w:r>
    </w:p>
    <w:p w14:paraId="00000004" w14:textId="77777777" w:rsidR="006A45E3" w:rsidRPr="002F3CD6" w:rsidRDefault="002F3CD6">
      <w:pPr>
        <w:spacing w:before="240" w:after="240"/>
        <w:rPr>
          <w:lang w:val="it-IT"/>
        </w:rPr>
      </w:pPr>
      <w:r w:rsidRPr="002F3CD6">
        <w:rPr>
          <w:b/>
          <w:lang w:val="it-IT"/>
        </w:rPr>
        <w:t xml:space="preserve">(*) Italian [Industrial] Co-tutor: </w:t>
      </w:r>
      <w:r w:rsidRPr="002F3CD6">
        <w:rPr>
          <w:lang w:val="it-IT"/>
        </w:rPr>
        <w:t>Lorenzo Baraldi</w:t>
      </w:r>
    </w:p>
    <w:p w14:paraId="00000005" w14:textId="77777777" w:rsidR="006A45E3" w:rsidRDefault="002F3CD6">
      <w:pPr>
        <w:spacing w:before="240" w:after="240"/>
        <w:rPr>
          <w:sz w:val="20"/>
          <w:szCs w:val="20"/>
        </w:rPr>
      </w:pPr>
      <w:r w:rsidRPr="002F3CD6">
        <w:rPr>
          <w:b/>
          <w:lang w:val="it-IT"/>
        </w:rPr>
        <w:t xml:space="preserve"> </w:t>
      </w:r>
      <w:r>
        <w:rPr>
          <w:b/>
        </w:rPr>
        <w:t>(**) Foreign Co-tutor:</w:t>
      </w:r>
      <w:r>
        <w:t xml:space="preserve"> </w:t>
      </w:r>
      <w:r>
        <w:rPr>
          <w:color w:val="222222"/>
          <w:highlight w:val="white"/>
        </w:rPr>
        <w:t>Natalia Díaz-Rodrígue, Inria France</w:t>
      </w:r>
    </w:p>
    <w:p w14:paraId="318BEC85" w14:textId="77777777" w:rsidR="002F3CD6" w:rsidRDefault="002F3CD6">
      <w:pPr>
        <w:spacing w:before="240" w:after="240"/>
        <w:rPr>
          <w:b/>
          <w:color w:val="222222"/>
        </w:rPr>
      </w:pPr>
      <w:r>
        <w:rPr>
          <w:b/>
        </w:rPr>
        <w:t>Proposed Title of the research:</w:t>
      </w:r>
      <w:r>
        <w:rPr>
          <w:b/>
        </w:rPr>
        <w:br/>
      </w:r>
      <w:r w:rsidRPr="002F3CD6">
        <w:rPr>
          <w:b/>
          <w:color w:val="222222"/>
        </w:rPr>
        <w:t>Trustworthy self-attentive models for visual-semantic understanding</w:t>
      </w:r>
    </w:p>
    <w:p w14:paraId="00000007" w14:textId="6FF72F38" w:rsidR="006A45E3" w:rsidRDefault="002F3CD6">
      <w:pPr>
        <w:spacing w:before="240" w:after="240"/>
        <w:rPr>
          <w:sz w:val="20"/>
          <w:szCs w:val="20"/>
        </w:rPr>
      </w:pPr>
      <w:r>
        <w:rPr>
          <w:b/>
        </w:rPr>
        <w:t>Keywords: (5)</w:t>
      </w:r>
      <w:r>
        <w:rPr>
          <w:b/>
        </w:rPr>
        <w:br/>
      </w:r>
      <w:r>
        <w:rPr>
          <w:b/>
        </w:rPr>
        <w:t xml:space="preserve">Self-Attentive Architectures, Visual generation, </w:t>
      </w:r>
      <w:r w:rsidRPr="002F3CD6">
        <w:rPr>
          <w:b/>
          <w:color w:val="222222"/>
        </w:rPr>
        <w:t>Trustworthy</w:t>
      </w:r>
      <w:r>
        <w:rPr>
          <w:b/>
          <w:color w:val="222222"/>
        </w:rPr>
        <w:t xml:space="preserve"> AI</w:t>
      </w:r>
    </w:p>
    <w:p w14:paraId="00000008" w14:textId="77777777" w:rsidR="006A45E3" w:rsidRDefault="002F3CD6">
      <w:pPr>
        <w:spacing w:before="240" w:after="240"/>
        <w:rPr>
          <w:b/>
        </w:rPr>
      </w:pPr>
      <w:r>
        <w:rPr>
          <w:b/>
        </w:rPr>
        <w:t>Research objectives: -</w:t>
      </w:r>
      <w:r>
        <w:rPr>
          <w:b/>
        </w:rPr>
        <w:t>-(max 10 rows)</w:t>
      </w:r>
    </w:p>
    <w:p w14:paraId="00000009" w14:textId="023088A5" w:rsidR="006A45E3" w:rsidRDefault="002F3CD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Deep learning has quickly become the state-of-the-art approach for extracting knowledge from visual data and it is rapidly solving some of the most complex problems in Computer Vision, such as image classification, object detection and visua</w:t>
      </w:r>
      <w:r>
        <w:rPr>
          <w:sz w:val="20"/>
          <w:szCs w:val="20"/>
        </w:rPr>
        <w:t xml:space="preserve">l-semantic understanding with supervised learning. As Deep Learning gets better at visual and semantic tasks, and new self-attentive operators and architectures emerge to tackle visual understanding and generative problems, the need for trustworthy </w:t>
      </w:r>
      <w:r>
        <w:rPr>
          <w:sz w:val="20"/>
          <w:szCs w:val="20"/>
        </w:rPr>
        <w:t xml:space="preserve">algorithms increases. The purpose of this topic is the design and analysis of novel and data-intensive algorithms for visual data understanding, visual generation and for the integration of vision, </w:t>
      </w:r>
      <w:proofErr w:type="gramStart"/>
      <w:r>
        <w:rPr>
          <w:sz w:val="20"/>
          <w:szCs w:val="20"/>
        </w:rPr>
        <w:t>semantics</w:t>
      </w:r>
      <w:proofErr w:type="gramEnd"/>
      <w:r>
        <w:rPr>
          <w:sz w:val="20"/>
          <w:szCs w:val="20"/>
        </w:rPr>
        <w:t xml:space="preserve"> and language - with a focus on the desi</w:t>
      </w:r>
      <w:r>
        <w:rPr>
          <w:sz w:val="20"/>
          <w:szCs w:val="20"/>
        </w:rPr>
        <w:t xml:space="preserve">gn of novel operators and on the trustworthiness </w:t>
      </w:r>
      <w:r>
        <w:rPr>
          <w:sz w:val="20"/>
          <w:szCs w:val="20"/>
        </w:rPr>
        <w:t>of the results. It will also ensure that developed techniques are in line with the emerging European legal framework on AI.</w:t>
      </w:r>
    </w:p>
    <w:p w14:paraId="0000000A" w14:textId="77777777" w:rsidR="006A45E3" w:rsidRDefault="002F3CD6">
      <w:pPr>
        <w:spacing w:before="240" w:after="240"/>
        <w:rPr>
          <w:sz w:val="20"/>
          <w:szCs w:val="20"/>
        </w:rPr>
      </w:pPr>
      <w:proofErr w:type="gramStart"/>
      <w:r>
        <w:rPr>
          <w:b/>
        </w:rPr>
        <w:t>Proposed  research</w:t>
      </w:r>
      <w:proofErr w:type="gramEnd"/>
      <w:r>
        <w:rPr>
          <w:b/>
        </w:rPr>
        <w:t xml:space="preserve"> activity -- (max 10 rows)</w:t>
      </w:r>
      <w:r>
        <w:rPr>
          <w:b/>
        </w:rPr>
        <w:br/>
      </w:r>
      <w:r>
        <w:rPr>
          <w:sz w:val="20"/>
          <w:szCs w:val="20"/>
        </w:rPr>
        <w:t>Research activity will cover the following topics.</w:t>
      </w:r>
    </w:p>
    <w:p w14:paraId="0000000B" w14:textId="0C156826" w:rsidR="006A45E3" w:rsidRDefault="002F3CD6">
      <w:pPr>
        <w:numPr>
          <w:ilvl w:val="0"/>
          <w:numId w:val="1"/>
        </w:numPr>
      </w:pPr>
      <w:r>
        <w:rPr>
          <w:sz w:val="20"/>
          <w:szCs w:val="20"/>
        </w:rPr>
        <w:t xml:space="preserve">Design of novel </w:t>
      </w:r>
      <w:r>
        <w:rPr>
          <w:sz w:val="20"/>
          <w:szCs w:val="20"/>
        </w:rPr>
        <w:t>architectures with self-attentive and Transformer-like approaches</w:t>
      </w:r>
    </w:p>
    <w:p w14:paraId="0000000C" w14:textId="77777777" w:rsidR="006A45E3" w:rsidRDefault="002F3CD6">
      <w:pPr>
        <w:numPr>
          <w:ilvl w:val="0"/>
          <w:numId w:val="1"/>
        </w:numPr>
      </w:pPr>
      <w:r>
        <w:rPr>
          <w:sz w:val="20"/>
          <w:szCs w:val="20"/>
        </w:rPr>
        <w:t>Design and development of novel training techniques f</w:t>
      </w:r>
      <w:r>
        <w:rPr>
          <w:sz w:val="20"/>
          <w:szCs w:val="20"/>
        </w:rPr>
        <w:t xml:space="preserve">or self-supervised and/or </w:t>
      </w:r>
      <w:proofErr w:type="gramStart"/>
      <w:r>
        <w:rPr>
          <w:sz w:val="20"/>
          <w:szCs w:val="20"/>
        </w:rPr>
        <w:t>partially-supervised</w:t>
      </w:r>
      <w:proofErr w:type="gramEnd"/>
      <w:r>
        <w:rPr>
          <w:sz w:val="20"/>
          <w:szCs w:val="20"/>
        </w:rPr>
        <w:t xml:space="preserve"> training</w:t>
      </w:r>
    </w:p>
    <w:p w14:paraId="0000000D" w14:textId="77777777" w:rsidR="006A45E3" w:rsidRDefault="002F3CD6">
      <w:pPr>
        <w:numPr>
          <w:ilvl w:val="0"/>
          <w:numId w:val="1"/>
        </w:numPr>
      </w:pPr>
      <w:r>
        <w:rPr>
          <w:sz w:val="20"/>
          <w:szCs w:val="20"/>
        </w:rPr>
        <w:t>Design of Transformer-like networks for visual data generation and retrieval.</w:t>
      </w:r>
    </w:p>
    <w:p w14:paraId="0000000F" w14:textId="77777777" w:rsidR="006A45E3" w:rsidRDefault="002F3CD6">
      <w:pPr>
        <w:numPr>
          <w:ilvl w:val="0"/>
          <w:numId w:val="1"/>
        </w:numPr>
        <w:spacing w:after="240"/>
      </w:pPr>
      <w:r>
        <w:rPr>
          <w:sz w:val="20"/>
          <w:szCs w:val="20"/>
        </w:rPr>
        <w:t>AI learning and inference from HPC to ed</w:t>
      </w:r>
      <w:r>
        <w:rPr>
          <w:sz w:val="20"/>
          <w:szCs w:val="20"/>
        </w:rPr>
        <w:t>ge.</w:t>
      </w:r>
    </w:p>
    <w:p w14:paraId="00000010" w14:textId="77777777" w:rsidR="006A45E3" w:rsidRDefault="002F3CD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Research will be carried on with the support of European projects (Human-E-AI-Net, PERSEO), with datasets and using HPC facilities with CINECA and NVIDIA, in the context of the NVIDIA AI Technical Centre of Modena. Part of the research will be done dur</w:t>
      </w:r>
      <w:r>
        <w:rPr>
          <w:sz w:val="20"/>
          <w:szCs w:val="20"/>
        </w:rPr>
        <w:t>ing a period of internship in Europe in some research/industrial centres involved in the projects.</w:t>
      </w:r>
    </w:p>
    <w:p w14:paraId="00000011" w14:textId="77777777" w:rsidR="006A45E3" w:rsidRDefault="002F3CD6">
      <w:pPr>
        <w:spacing w:before="240" w:after="240"/>
        <w:rPr>
          <w:b/>
        </w:rPr>
      </w:pPr>
      <w:r>
        <w:rPr>
          <w:b/>
        </w:rPr>
        <w:t>Supporting research projects (and Department)</w:t>
      </w:r>
    </w:p>
    <w:p w14:paraId="00000012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Research will be carried out in the AImagelab laboratory (aimagelab.unimore.it) in the Department of Engineerin</w:t>
      </w:r>
      <w:r>
        <w:rPr>
          <w:sz w:val="20"/>
          <w:szCs w:val="20"/>
        </w:rPr>
        <w:t>g “Enzo Ferrari” with the support of EU projects (Human-E-AI-Net, PERSEO) and with the support of the NVIDIA AI Technical research centre.</w:t>
      </w:r>
    </w:p>
    <w:p w14:paraId="00000013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4" w14:textId="77777777" w:rsidR="006A45E3" w:rsidRDefault="002F3CD6">
      <w:pPr>
        <w:spacing w:before="240" w:after="240"/>
        <w:rPr>
          <w:b/>
        </w:rPr>
      </w:pPr>
      <w:r>
        <w:rPr>
          <w:b/>
        </w:rPr>
        <w:t>Possible connections with research groups, companies, universities.</w:t>
      </w:r>
    </w:p>
    <w:p w14:paraId="00000015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Connections will be (many of them are already e</w:t>
      </w:r>
      <w:r>
        <w:rPr>
          <w:sz w:val="20"/>
          <w:szCs w:val="20"/>
        </w:rPr>
        <w:t>stablished)</w:t>
      </w:r>
    </w:p>
    <w:p w14:paraId="00000016" w14:textId="2C493F7D" w:rsidR="006A45E3" w:rsidRPr="002F3CD6" w:rsidRDefault="002F3CD6">
      <w:pPr>
        <w:spacing w:before="240" w:after="240"/>
        <w:rPr>
          <w:sz w:val="20"/>
          <w:szCs w:val="20"/>
          <w:lang w:val="it-IT"/>
        </w:rPr>
      </w:pPr>
      <w:r w:rsidRPr="002F3CD6">
        <w:rPr>
          <w:sz w:val="20"/>
          <w:szCs w:val="20"/>
          <w:lang w:val="it-IT"/>
        </w:rPr>
        <w:t>- NVIDIA</w:t>
      </w:r>
      <w:r w:rsidRPr="002F3CD6">
        <w:rPr>
          <w:sz w:val="20"/>
          <w:szCs w:val="20"/>
          <w:lang w:val="it-IT"/>
        </w:rPr>
        <w:t xml:space="preserve"> (Simon See Hong Kong, Fredric Pairente, Luxembourg)</w:t>
      </w:r>
    </w:p>
    <w:p w14:paraId="00000017" w14:textId="77777777" w:rsidR="006A45E3" w:rsidRPr="002F3CD6" w:rsidRDefault="002F3CD6">
      <w:pPr>
        <w:spacing w:before="240" w:after="240"/>
        <w:rPr>
          <w:sz w:val="20"/>
          <w:szCs w:val="20"/>
          <w:lang w:val="it-IT"/>
        </w:rPr>
      </w:pPr>
      <w:r w:rsidRPr="002F3CD6">
        <w:rPr>
          <w:sz w:val="20"/>
          <w:szCs w:val="20"/>
          <w:lang w:val="it-IT"/>
        </w:rPr>
        <w:t>- INRIA (Natalia Díaz-Rodríguez)</w:t>
      </w:r>
    </w:p>
    <w:p w14:paraId="00000018" w14:textId="77777777" w:rsidR="006A45E3" w:rsidRPr="002F3CD6" w:rsidRDefault="002F3CD6">
      <w:pPr>
        <w:spacing w:before="240" w:after="240"/>
        <w:rPr>
          <w:sz w:val="20"/>
          <w:szCs w:val="20"/>
          <w:lang w:val="it-IT"/>
        </w:rPr>
      </w:pPr>
      <w:r w:rsidRPr="002F3CD6">
        <w:rPr>
          <w:sz w:val="20"/>
          <w:szCs w:val="20"/>
          <w:lang w:val="it-IT"/>
        </w:rPr>
        <w:t>- CNR (Consiglio Nazionale delle Ricerche)</w:t>
      </w:r>
    </w:p>
    <w:p w14:paraId="00000019" w14:textId="77777777" w:rsidR="006A45E3" w:rsidRDefault="002F3CD6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- FBK (Fondazione Bruno Kessler)</w:t>
      </w:r>
    </w:p>
    <w:p w14:paraId="0000001A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trike/>
        </w:rPr>
        <w:t xml:space="preserve"> </w:t>
      </w:r>
      <w:r>
        <w:rPr>
          <w:sz w:val="20"/>
          <w:szCs w:val="20"/>
        </w:rPr>
        <w:t xml:space="preserve"> </w:t>
      </w:r>
    </w:p>
    <w:p w14:paraId="0000001B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(*) optional</w:t>
      </w:r>
    </w:p>
    <w:p w14:paraId="0000001C" w14:textId="77777777" w:rsidR="006A45E3" w:rsidRDefault="002F3CD6">
      <w:pPr>
        <w:spacing w:before="240" w:after="240"/>
      </w:pPr>
      <w:r>
        <w:rPr>
          <w:sz w:val="20"/>
          <w:szCs w:val="20"/>
        </w:rPr>
        <w:t xml:space="preserve">(**) optional/to be completed on the second year </w:t>
      </w:r>
      <w:r>
        <w:t xml:space="preserve"> </w:t>
      </w:r>
    </w:p>
    <w:p w14:paraId="0000001D" w14:textId="77777777" w:rsidR="006A45E3" w:rsidRDefault="002F3CD6">
      <w:pPr>
        <w:spacing w:before="240" w:after="240"/>
      </w:pPr>
      <w:r>
        <w:t xml:space="preserve"> </w:t>
      </w:r>
    </w:p>
    <w:p w14:paraId="0000001E" w14:textId="77777777" w:rsidR="006A45E3" w:rsidRDefault="006A45E3"/>
    <w:sectPr w:rsidR="006A45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7C3D"/>
    <w:multiLevelType w:val="multilevel"/>
    <w:tmpl w:val="FC9A4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E3"/>
    <w:rsid w:val="002F3CD6"/>
    <w:rsid w:val="006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EACA"/>
  <w15:docId w15:val="{BB8E6677-FE54-42EE-905B-0F2E42F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Baraldi</cp:lastModifiedBy>
  <cp:revision>2</cp:revision>
  <dcterms:created xsi:type="dcterms:W3CDTF">2021-12-18T15:34:00Z</dcterms:created>
  <dcterms:modified xsi:type="dcterms:W3CDTF">2021-12-18T15:36:00Z</dcterms:modified>
</cp:coreProperties>
</file>